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9D4907"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D51BB7" w:rsidRDefault="00D51BB7" w:rsidP="00323003">
      <w:pPr>
        <w:widowControl w:val="0"/>
        <w:tabs>
          <w:tab w:val="center" w:pos="5819"/>
        </w:tabs>
        <w:spacing w:line="240" w:lineRule="exact"/>
        <w:jc w:val="center"/>
        <w:rPr>
          <w:rFonts w:ascii="Times New Roman" w:hAnsi="Times New Roman" w:cs="Times New Roman"/>
          <w:b/>
          <w:bCs/>
          <w:color w:val="000000"/>
          <w:sz w:val="24"/>
          <w:szCs w:val="24"/>
        </w:rPr>
      </w:pPr>
    </w:p>
    <w:p w:rsidR="00D51BB7" w:rsidRDefault="00D51BB7"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E5031B" w:rsidRDefault="00E5031B" w:rsidP="00323003">
      <w:pPr>
        <w:widowControl w:val="0"/>
        <w:jc w:val="center"/>
        <w:rPr>
          <w:rFonts w:ascii="Times New Roman" w:hAnsi="Times New Roman" w:cs="Times New Roman"/>
          <w:b/>
          <w:sz w:val="24"/>
          <w:szCs w:val="24"/>
        </w:rPr>
      </w:pPr>
    </w:p>
    <w:p w:rsidR="00E5031B" w:rsidRDefault="00E5031B" w:rsidP="00323003">
      <w:pPr>
        <w:widowControl w:val="0"/>
        <w:jc w:val="center"/>
        <w:rPr>
          <w:rFonts w:ascii="Times New Roman" w:hAnsi="Times New Roman" w:cs="Times New Roman"/>
          <w:b/>
          <w:sz w:val="24"/>
          <w:szCs w:val="24"/>
        </w:rPr>
      </w:pPr>
    </w:p>
    <w:p w:rsidR="00323003" w:rsidRPr="00F25EC5" w:rsidRDefault="00F25EC5" w:rsidP="00323003">
      <w:pPr>
        <w:widowControl w:val="0"/>
        <w:jc w:val="center"/>
        <w:rPr>
          <w:rFonts w:ascii="Times New Roman" w:hAnsi="Times New Roman" w:cs="Times New Roman"/>
          <w:b/>
          <w:sz w:val="24"/>
          <w:szCs w:val="24"/>
        </w:rPr>
      </w:pPr>
      <w:r w:rsidRPr="00F25EC5">
        <w:rPr>
          <w:rFonts w:ascii="Times New Roman" w:hAnsi="Times New Roman" w:cs="Times New Roman"/>
          <w:b/>
          <w:sz w:val="24"/>
          <w:szCs w:val="24"/>
        </w:rPr>
        <w:t>MOD-019-0.1</w:t>
      </w:r>
      <w:r w:rsidR="009C039C" w:rsidRPr="00F25EC5">
        <w:rPr>
          <w:rFonts w:ascii="Times New Roman" w:hAnsi="Times New Roman" w:cs="Times New Roman"/>
          <w:b/>
          <w:bCs/>
          <w:sz w:val="24"/>
          <w:szCs w:val="24"/>
        </w:rPr>
        <w:t>—</w:t>
      </w:r>
      <w:r w:rsidR="00323003" w:rsidRPr="00F25EC5">
        <w:rPr>
          <w:rFonts w:ascii="Times New Roman" w:hAnsi="Times New Roman" w:cs="Times New Roman"/>
          <w:b/>
          <w:bCs/>
          <w:sz w:val="24"/>
          <w:szCs w:val="24"/>
        </w:rPr>
        <w:t xml:space="preserve"> </w:t>
      </w:r>
      <w:r w:rsidRPr="00F25EC5">
        <w:rPr>
          <w:rFonts w:ascii="Times New Roman" w:hAnsi="Times New Roman" w:cs="Times New Roman"/>
          <w:b/>
          <w:sz w:val="24"/>
          <w:szCs w:val="24"/>
        </w:rPr>
        <w:t>Reporting of Interruptible Demands and Direct Control Load</w:t>
      </w:r>
      <w:r w:rsidR="0062416A">
        <w:rPr>
          <w:rFonts w:ascii="Times New Roman" w:hAnsi="Times New Roman" w:cs="Times New Roman"/>
          <w:b/>
          <w:sz w:val="24"/>
          <w:szCs w:val="24"/>
        </w:rPr>
        <w:t xml:space="preserve"> Management</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24304E"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24304E" w:rsidRDefault="0024304E"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24304E" w:rsidRDefault="0024304E" w:rsidP="00F25EC5">
      <w:pPr>
        <w:widowControl w:val="0"/>
        <w:tabs>
          <w:tab w:val="left" w:pos="480"/>
          <w:tab w:val="left" w:pos="3267"/>
        </w:tabs>
        <w:spacing w:line="331" w:lineRule="exact"/>
        <w:rPr>
          <w:rFonts w:ascii="Times New Roman" w:hAnsi="Times New Roman" w:cs="Times New Roman"/>
          <w:b/>
          <w:bCs/>
          <w:color w:val="264D74"/>
          <w:sz w:val="24"/>
          <w:szCs w:val="24"/>
        </w:rPr>
      </w:pPr>
    </w:p>
    <w:p w:rsidR="000F5E13" w:rsidRPr="009C039C" w:rsidRDefault="00323003" w:rsidP="00F25EC5">
      <w:pPr>
        <w:widowControl w:val="0"/>
        <w:tabs>
          <w:tab w:val="left" w:pos="480"/>
          <w:tab w:val="left" w:pos="3267"/>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24304E">
        <w:rPr>
          <w:rFonts w:ascii="Times New Roman" w:hAnsi="Times New Roman" w:cs="Times New Roman"/>
          <w:b/>
          <w:bCs/>
          <w:color w:val="264D74"/>
          <w:sz w:val="24"/>
          <w:szCs w:val="24"/>
        </w:rPr>
        <w:t xml:space="preserve">  </w:t>
      </w:r>
      <w:r w:rsidR="00B608A3">
        <w:rPr>
          <w:rFonts w:ascii="Times New Roman" w:hAnsi="Times New Roman" w:cs="Times New Roman"/>
          <w:b/>
          <w:bCs/>
          <w:color w:val="000000"/>
          <w:sz w:val="24"/>
          <w:szCs w:val="24"/>
        </w:rPr>
        <w:t xml:space="preserve">LSE, </w:t>
      </w:r>
      <w:r w:rsidR="00F25EC5">
        <w:rPr>
          <w:rFonts w:ascii="Times New Roman" w:hAnsi="Times New Roman" w:cs="Times New Roman"/>
          <w:b/>
          <w:bCs/>
          <w:color w:val="000000"/>
          <w:sz w:val="24"/>
          <w:szCs w:val="24"/>
        </w:rPr>
        <w:t>PA, TP, RP</w:t>
      </w:r>
    </w:p>
    <w:p w:rsidR="0024304E" w:rsidRDefault="0024304E" w:rsidP="0024304E">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24304E">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142552" w:rsidRDefault="00AD5422" w:rsidP="00142552">
      <w:pPr>
        <w:pStyle w:val="Heading1"/>
      </w:pPr>
      <w:r w:rsidRPr="00142552">
        <w:lastRenderedPageBreak/>
        <w:t>Subject Matter Experts</w:t>
      </w:r>
    </w:p>
    <w:p w:rsidR="00E5031B" w:rsidRDefault="00E5031B"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165604" w:rsidP="00AD5422">
      <w:pPr>
        <w:widowControl w:val="0"/>
        <w:tabs>
          <w:tab w:val="left" w:pos="450"/>
        </w:tabs>
        <w:spacing w:line="284" w:lineRule="exact"/>
        <w:ind w:left="449"/>
        <w:rPr>
          <w:color w:val="244061"/>
        </w:rPr>
      </w:pPr>
      <w:r>
        <w:rPr>
          <w:color w:val="244061"/>
        </w:rPr>
        <w:br w:type="page"/>
      </w: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C23A94" w:rsidP="0024304E">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24304E" w:rsidRPr="001F467C" w:rsidRDefault="0024304E" w:rsidP="0024304E">
      <w:pPr>
        <w:widowControl w:val="0"/>
        <w:shd w:val="clear" w:color="auto" w:fill="D3DCE9"/>
        <w:spacing w:line="120" w:lineRule="exact"/>
        <w:rPr>
          <w:rFonts w:ascii="Times New Roman" w:hAnsi="Times New Roman" w:cs="Times New Roman"/>
          <w:sz w:val="24"/>
          <w:szCs w:val="24"/>
        </w:rPr>
      </w:pPr>
    </w:p>
    <w:p w:rsidR="0024304E" w:rsidRDefault="0024304E" w:rsidP="0024304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Pr>
          <w:rFonts w:ascii="Times New Roman" w:hAnsi="Times New Roman" w:cs="Times New Roman"/>
          <w:b/>
          <w:bCs/>
          <w:color w:val="003366"/>
          <w:sz w:val="24"/>
          <w:szCs w:val="24"/>
        </w:rPr>
        <w:t>MOD-</w:t>
      </w:r>
      <w:r w:rsidRPr="0024304E">
        <w:rPr>
          <w:rFonts w:ascii="Times New Roman" w:hAnsi="Times New Roman" w:cs="Times New Roman"/>
          <w:b/>
          <w:bCs/>
          <w:color w:val="003366"/>
          <w:sz w:val="24"/>
          <w:szCs w:val="24"/>
        </w:rPr>
        <w:t>019-0.1 – Reporting of Interruptible Demands and Direct Control Load Management</w:t>
      </w:r>
    </w:p>
    <w:p w:rsidR="0024304E" w:rsidRPr="001F467C" w:rsidRDefault="0024304E" w:rsidP="0024304E">
      <w:pPr>
        <w:widowControl w:val="0"/>
        <w:shd w:val="clear" w:color="auto" w:fill="D3DCE9"/>
        <w:tabs>
          <w:tab w:val="left" w:pos="120"/>
        </w:tabs>
        <w:spacing w:line="240" w:lineRule="exact"/>
        <w:rPr>
          <w:rFonts w:ascii="Times New Roman" w:hAnsi="Times New Roman" w:cs="Times New Roman"/>
          <w:sz w:val="24"/>
          <w:szCs w:val="24"/>
        </w:rPr>
      </w:pPr>
    </w:p>
    <w:p w:rsidR="0024304E" w:rsidRDefault="0024304E" w:rsidP="00A86374">
      <w:pPr>
        <w:widowControl w:val="0"/>
        <w:tabs>
          <w:tab w:val="left" w:pos="120"/>
        </w:tabs>
        <w:spacing w:line="331" w:lineRule="exact"/>
        <w:rPr>
          <w:rFonts w:ascii="Times New Roman" w:hAnsi="Times New Roman" w:cs="Times New Roman"/>
          <w:b/>
          <w:bCs/>
          <w:color w:val="264D74"/>
          <w:sz w:val="24"/>
          <w:szCs w:val="24"/>
        </w:rPr>
      </w:pPr>
    </w:p>
    <w:p w:rsidR="0024304E" w:rsidRDefault="00E8453A" w:rsidP="00BF624B">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24304E" w:rsidRDefault="0024304E" w:rsidP="00BF624B">
      <w:pPr>
        <w:rPr>
          <w:rFonts w:ascii="Times New Roman" w:hAnsi="Times New Roman" w:cs="Times New Roman"/>
          <w:b/>
          <w:bCs/>
          <w:color w:val="264D74"/>
          <w:sz w:val="24"/>
          <w:szCs w:val="24"/>
        </w:rPr>
      </w:pPr>
    </w:p>
    <w:p w:rsidR="00E8453A" w:rsidRPr="009C039C" w:rsidRDefault="00BF624B" w:rsidP="00BF624B">
      <w:pPr>
        <w:rPr>
          <w:rFonts w:ascii="Times New Roman" w:hAnsi="Times New Roman" w:cs="Times New Roman"/>
          <w:sz w:val="24"/>
          <w:szCs w:val="24"/>
        </w:rPr>
      </w:pPr>
      <w:r w:rsidRPr="00BF624B">
        <w:rPr>
          <w:rFonts w:ascii="Times New Roman" w:hAnsi="Times New Roman" w:cs="Times New Roman"/>
          <w:sz w:val="24"/>
          <w:szCs w:val="24"/>
        </w:rPr>
        <w:t>To ensure that assessments and validation of past events and databases can be performed, reporting of actual demand data is needed. Forecast demand data is needed to perform future system assessments to identify the need for system reinforcement for continued reliability. In addition, to assist in proper real-time operating, load information related to controllable Demand-Side Management programs is needed.</w:t>
      </w: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24304E"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24304E" w:rsidRPr="0024304E" w:rsidRDefault="0024304E" w:rsidP="0024304E">
      <w:pPr>
        <w:widowControl w:val="0"/>
        <w:tabs>
          <w:tab w:val="left" w:pos="840"/>
        </w:tabs>
        <w:spacing w:line="294" w:lineRule="exact"/>
        <w:ind w:left="900"/>
        <w:rPr>
          <w:rFonts w:ascii="Times New Roman" w:hAnsi="Times New Roman" w:cs="Times New Roman"/>
          <w:bCs/>
          <w:sz w:val="24"/>
          <w:szCs w:val="24"/>
        </w:rPr>
      </w:pPr>
      <w:r w:rsidRPr="0024304E">
        <w:rPr>
          <w:rFonts w:ascii="Times New Roman" w:hAnsi="Times New Roman" w:cs="Times New Roman"/>
          <w:bCs/>
          <w:sz w:val="24"/>
          <w:szCs w:val="24"/>
        </w:rPr>
        <w:t>Load Serving Entity</w:t>
      </w:r>
    </w:p>
    <w:p w:rsidR="0024304E" w:rsidRPr="0024304E" w:rsidRDefault="0024304E" w:rsidP="0024304E">
      <w:pPr>
        <w:widowControl w:val="0"/>
        <w:tabs>
          <w:tab w:val="left" w:pos="840"/>
        </w:tabs>
        <w:spacing w:line="294" w:lineRule="exact"/>
        <w:ind w:left="900"/>
        <w:rPr>
          <w:rFonts w:ascii="Times New Roman" w:hAnsi="Times New Roman" w:cs="Times New Roman"/>
          <w:bCs/>
          <w:sz w:val="24"/>
          <w:szCs w:val="24"/>
        </w:rPr>
      </w:pPr>
      <w:r w:rsidRPr="0024304E">
        <w:rPr>
          <w:rFonts w:ascii="Times New Roman" w:hAnsi="Times New Roman" w:cs="Times New Roman"/>
          <w:bCs/>
          <w:sz w:val="24"/>
          <w:szCs w:val="24"/>
        </w:rPr>
        <w:t>Planning Authority</w:t>
      </w:r>
    </w:p>
    <w:p w:rsidR="0024304E" w:rsidRPr="0024304E" w:rsidRDefault="0024304E" w:rsidP="0024304E">
      <w:pPr>
        <w:widowControl w:val="0"/>
        <w:tabs>
          <w:tab w:val="left" w:pos="840"/>
        </w:tabs>
        <w:spacing w:line="294" w:lineRule="exact"/>
        <w:ind w:left="900"/>
        <w:rPr>
          <w:rFonts w:ascii="Times New Roman" w:hAnsi="Times New Roman" w:cs="Times New Roman"/>
          <w:bCs/>
          <w:sz w:val="24"/>
          <w:szCs w:val="24"/>
        </w:rPr>
      </w:pPr>
      <w:r w:rsidRPr="0024304E">
        <w:rPr>
          <w:rFonts w:ascii="Times New Roman" w:hAnsi="Times New Roman" w:cs="Times New Roman"/>
          <w:bCs/>
          <w:sz w:val="24"/>
          <w:szCs w:val="24"/>
        </w:rPr>
        <w:t>Transmission Provider</w:t>
      </w:r>
    </w:p>
    <w:p w:rsidR="007C44D6" w:rsidRPr="0024304E" w:rsidRDefault="0024304E" w:rsidP="0024304E">
      <w:pPr>
        <w:widowControl w:val="0"/>
        <w:tabs>
          <w:tab w:val="left" w:pos="840"/>
        </w:tabs>
        <w:spacing w:line="294" w:lineRule="exact"/>
        <w:ind w:left="900"/>
        <w:rPr>
          <w:rFonts w:ascii="Times New Roman" w:hAnsi="Times New Roman" w:cs="Times New Roman"/>
          <w:sz w:val="24"/>
          <w:szCs w:val="24"/>
        </w:rPr>
      </w:pPr>
      <w:r w:rsidRPr="0024304E">
        <w:rPr>
          <w:rFonts w:ascii="Times New Roman" w:hAnsi="Times New Roman" w:cs="Times New Roman"/>
          <w:bCs/>
          <w:sz w:val="24"/>
          <w:szCs w:val="24"/>
        </w:rPr>
        <w:t>Resource Planner</w:t>
      </w:r>
    </w:p>
    <w:p w:rsidR="00861282" w:rsidRPr="0024304E" w:rsidRDefault="007C44D6" w:rsidP="0024304E">
      <w:pPr>
        <w:widowControl w:val="0"/>
        <w:tabs>
          <w:tab w:val="left" w:pos="900"/>
        </w:tabs>
        <w:ind w:left="900"/>
        <w:rPr>
          <w:rFonts w:ascii="Times New Roman" w:hAnsi="Times New Roman" w:cs="Times New Roman"/>
          <w:sz w:val="24"/>
          <w:szCs w:val="24"/>
        </w:rPr>
      </w:pPr>
      <w:r w:rsidRPr="0024304E">
        <w:rPr>
          <w:rFonts w:ascii="Times New Roman" w:hAnsi="Times New Roman" w:cs="Times New Roman"/>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856322">
        <w:rPr>
          <w:rFonts w:ascii="Times New Roman" w:hAnsi="Times New Roman" w:cs="Times New Roman"/>
          <w:b/>
          <w:bCs/>
          <w:color w:val="000000"/>
          <w:sz w:val="24"/>
          <w:szCs w:val="24"/>
        </w:rPr>
        <w:t>10</w:t>
      </w:r>
      <w:r w:rsidR="00B608A3">
        <w:rPr>
          <w:rFonts w:ascii="Times New Roman" w:hAnsi="Times New Roman" w:cs="Times New Roman"/>
          <w:b/>
          <w:bCs/>
          <w:color w:val="000000"/>
          <w:sz w:val="24"/>
          <w:szCs w:val="24"/>
        </w:rPr>
        <w:t>/</w:t>
      </w:r>
      <w:r w:rsidR="00856322">
        <w:rPr>
          <w:rFonts w:ascii="Times New Roman" w:hAnsi="Times New Roman" w:cs="Times New Roman"/>
          <w:b/>
          <w:bCs/>
          <w:color w:val="000000"/>
          <w:sz w:val="24"/>
          <w:szCs w:val="24"/>
        </w:rPr>
        <w:t>29</w:t>
      </w:r>
      <w:r w:rsidR="00B608A3">
        <w:rPr>
          <w:rFonts w:ascii="Times New Roman" w:hAnsi="Times New Roman" w:cs="Times New Roman"/>
          <w:b/>
          <w:bCs/>
          <w:color w:val="000000"/>
          <w:sz w:val="24"/>
          <w:szCs w:val="24"/>
        </w:rPr>
        <w:t>/200</w:t>
      </w:r>
      <w:r w:rsidR="00856322">
        <w:rPr>
          <w:rFonts w:ascii="Times New Roman" w:hAnsi="Times New Roman" w:cs="Times New Roman"/>
          <w:b/>
          <w:bCs/>
          <w:color w:val="000000"/>
          <w:sz w:val="24"/>
          <w:szCs w:val="24"/>
        </w:rPr>
        <w:t>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85632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856322">
        <w:rPr>
          <w:rFonts w:ascii="Times New Roman" w:hAnsi="Times New Roman" w:cs="Times New Roman"/>
          <w:b/>
          <w:bCs/>
          <w:color w:val="000000"/>
          <w:sz w:val="24"/>
          <w:szCs w:val="24"/>
        </w:rPr>
        <w:t>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856322">
        <w:rPr>
          <w:rFonts w:ascii="Times New Roman" w:hAnsi="Times New Roman" w:cs="Times New Roman"/>
          <w:b/>
          <w:bCs/>
          <w:color w:val="000000"/>
          <w:sz w:val="24"/>
          <w:szCs w:val="24"/>
        </w:rPr>
        <w:t>5</w:t>
      </w:r>
      <w:r w:rsidR="00B608A3">
        <w:rPr>
          <w:rFonts w:ascii="Times New Roman" w:hAnsi="Times New Roman" w:cs="Times New Roman"/>
          <w:b/>
          <w:bCs/>
          <w:color w:val="000000"/>
          <w:sz w:val="24"/>
          <w:szCs w:val="24"/>
        </w:rPr>
        <w:t>/1</w:t>
      </w:r>
      <w:r w:rsidR="00856322">
        <w:rPr>
          <w:rFonts w:ascii="Times New Roman" w:hAnsi="Times New Roman" w:cs="Times New Roman"/>
          <w:b/>
          <w:bCs/>
          <w:color w:val="000000"/>
          <w:sz w:val="24"/>
          <w:szCs w:val="24"/>
        </w:rPr>
        <w:t>3</w:t>
      </w:r>
      <w:r w:rsidR="00B608A3">
        <w:rPr>
          <w:rFonts w:ascii="Times New Roman" w:hAnsi="Times New Roman" w:cs="Times New Roman"/>
          <w:b/>
          <w:bCs/>
          <w:color w:val="000000"/>
          <w:sz w:val="24"/>
          <w:szCs w:val="24"/>
        </w:rPr>
        <w:t>/20</w:t>
      </w:r>
      <w:r w:rsidR="00856322">
        <w:rPr>
          <w:rFonts w:ascii="Times New Roman" w:hAnsi="Times New Roman" w:cs="Times New Roman"/>
          <w:b/>
          <w:bCs/>
          <w:color w:val="000000"/>
          <w:sz w:val="24"/>
          <w:szCs w:val="24"/>
        </w:rPr>
        <w:t>09</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BF624B" w:rsidRDefault="00BF624B" w:rsidP="00BF624B">
      <w:pPr>
        <w:pStyle w:val="Requirement"/>
        <w:rPr>
          <w:b/>
          <w:bCs/>
          <w:color w:val="003366"/>
        </w:rPr>
      </w:pPr>
      <w:r w:rsidRPr="00C90C21">
        <w:t>The Load-Serving Entity, Planning Authority, Transmission Planner, and Resource Planner</w:t>
      </w:r>
      <w:r>
        <w:t xml:space="preserve"> </w:t>
      </w:r>
      <w:r w:rsidRPr="00C90C21">
        <w:t>shall each provide annually its forecasts of interruptible demands and Direct Control Load</w:t>
      </w:r>
      <w:r>
        <w:t xml:space="preserve"> </w:t>
      </w:r>
      <w:r w:rsidRPr="00C90C21">
        <w:t>Management (DCLM) data for at least five years and up to ten years into the future, as</w:t>
      </w:r>
      <w:r>
        <w:t xml:space="preserve"> </w:t>
      </w:r>
      <w:r w:rsidRPr="00C90C21">
        <w:t>requested, for summer and winter peak system conditions to NERC, the Regional Reliability</w:t>
      </w:r>
      <w:r>
        <w:t xml:space="preserve"> </w:t>
      </w:r>
      <w:r w:rsidRPr="00C90C21">
        <w:t>Organizations, and other entities (Load-Serving Entities, Planning Authorities, and Resource</w:t>
      </w:r>
      <w:r>
        <w:t xml:space="preserve"> </w:t>
      </w:r>
      <w:r w:rsidRPr="00C90C21">
        <w:t>Planners) as specified by the documentation in Reliability Standard MOD-016-</w:t>
      </w:r>
      <w:r>
        <w:t>1</w:t>
      </w:r>
      <w:r w:rsidRPr="00C90C21">
        <w:t>_R1.</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856322"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5031B" w:rsidRDefault="00E5031B" w:rsidP="000F5E13">
      <w:pPr>
        <w:widowControl w:val="0"/>
        <w:tabs>
          <w:tab w:val="left" w:pos="720"/>
        </w:tabs>
        <w:spacing w:line="294" w:lineRule="exact"/>
        <w:ind w:left="720"/>
        <w:rPr>
          <w:rFonts w:ascii="Times New Roman" w:hAnsi="Times New Roman" w:cs="Times New Roman"/>
          <w:b/>
          <w:bCs/>
          <w:color w:val="264D74"/>
          <w:sz w:val="24"/>
          <w:szCs w:val="24"/>
        </w:rPr>
      </w:pP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856322" w:rsidRDefault="00856322" w:rsidP="00856322">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E5031B">
        <w:rPr>
          <w:rFonts w:ascii="Times New Roman" w:hAnsi="Times New Roman" w:cs="Times New Roman"/>
          <w:bCs/>
          <w:sz w:val="24"/>
          <w:szCs w:val="24"/>
        </w:rPr>
        <w:t>Did you receive a request to provide data as specified in MOD-016-1 R1. If yes, provide details of the request.</w:t>
      </w:r>
    </w:p>
    <w:p w:rsidR="00856322" w:rsidRPr="009C039C" w:rsidRDefault="00856322" w:rsidP="00856322">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6322" w:rsidRPr="009C039C" w:rsidRDefault="00856322" w:rsidP="00856322">
      <w:pPr>
        <w:widowControl w:val="0"/>
        <w:tabs>
          <w:tab w:val="left" w:pos="720"/>
        </w:tabs>
        <w:spacing w:line="186" w:lineRule="exact"/>
        <w:ind w:left="720"/>
        <w:rPr>
          <w:rFonts w:ascii="Times New Roman" w:hAnsi="Times New Roman" w:cs="Times New Roman"/>
          <w:sz w:val="24"/>
          <w:szCs w:val="24"/>
        </w:rPr>
      </w:pPr>
    </w:p>
    <w:p w:rsidR="00856322" w:rsidRPr="009C039C" w:rsidRDefault="00856322" w:rsidP="008563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56322" w:rsidRPr="009C039C" w:rsidRDefault="00856322" w:rsidP="008563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6322" w:rsidRDefault="008563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165604" w:rsidRPr="009C15EB" w:rsidRDefault="00165604" w:rsidP="009C15EB">
      <w:pPr>
        <w:pStyle w:val="Heading1"/>
      </w:pPr>
      <w:r w:rsidRPr="009C15EB">
        <w:t>R1 Supporting Evidence and Documentation</w:t>
      </w:r>
    </w:p>
    <w:p w:rsidR="00165604" w:rsidRDefault="00165604" w:rsidP="00165604">
      <w:pPr>
        <w:widowControl w:val="0"/>
        <w:spacing w:line="266" w:lineRule="exact"/>
        <w:rPr>
          <w:rFonts w:ascii="Times New Roman" w:hAnsi="Times New Roman" w:cs="Times New Roman"/>
          <w:b/>
          <w:bCs/>
          <w:color w:val="FF0000"/>
          <w:sz w:val="24"/>
          <w:szCs w:val="24"/>
        </w:rPr>
      </w:pPr>
    </w:p>
    <w:p w:rsidR="00165604" w:rsidRDefault="00165604" w:rsidP="0016560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165604" w:rsidRDefault="00165604" w:rsidP="0016560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5604" w:rsidTr="00165604">
        <w:trPr>
          <w:gridAfter w:val="1"/>
          <w:wAfter w:w="1224" w:type="dxa"/>
          <w:trHeight w:val="945"/>
        </w:trPr>
        <w:tc>
          <w:tcPr>
            <w:tcW w:w="1098" w:type="dxa"/>
            <w:tcBorders>
              <w:top w:val="nil"/>
              <w:left w:val="nil"/>
              <w:bottom w:val="nil"/>
              <w:right w:val="nil"/>
            </w:tcBorders>
          </w:tcPr>
          <w:p w:rsidR="00165604" w:rsidRDefault="0016560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165604" w:rsidRDefault="0016560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165604" w:rsidRDefault="0016560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165604" w:rsidTr="00165604">
        <w:tc>
          <w:tcPr>
            <w:tcW w:w="7848" w:type="dxa"/>
            <w:gridSpan w:val="2"/>
            <w:tcBorders>
              <w:top w:val="single" w:sz="8" w:space="0" w:color="4F81BD"/>
              <w:left w:val="nil"/>
              <w:bottom w:val="single" w:sz="8" w:space="0" w:color="4F81BD"/>
              <w:right w:val="nil"/>
            </w:tcBorders>
            <w:hideMark/>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165604" w:rsidRDefault="0016560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165604" w:rsidRDefault="0016560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165604" w:rsidTr="00165604">
        <w:tc>
          <w:tcPr>
            <w:tcW w:w="7848" w:type="dxa"/>
            <w:gridSpan w:val="2"/>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r>
      <w:tr w:rsidR="00165604" w:rsidTr="00165604">
        <w:tc>
          <w:tcPr>
            <w:tcW w:w="7848" w:type="dxa"/>
            <w:gridSpan w:val="2"/>
            <w:tcBorders>
              <w:top w:val="nil"/>
              <w:left w:val="nil"/>
              <w:bottom w:val="nil"/>
              <w:right w:val="nil"/>
            </w:tcBorders>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r>
      <w:tr w:rsidR="00165604" w:rsidTr="00165604">
        <w:tc>
          <w:tcPr>
            <w:tcW w:w="7848" w:type="dxa"/>
            <w:gridSpan w:val="2"/>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r>
      <w:tr w:rsidR="00165604" w:rsidTr="00165604">
        <w:tc>
          <w:tcPr>
            <w:tcW w:w="7848" w:type="dxa"/>
            <w:gridSpan w:val="2"/>
            <w:tcBorders>
              <w:top w:val="nil"/>
              <w:left w:val="nil"/>
              <w:bottom w:val="nil"/>
              <w:right w:val="nil"/>
            </w:tcBorders>
            <w:hideMark/>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r>
      <w:tr w:rsidR="00165604" w:rsidTr="00165604">
        <w:tc>
          <w:tcPr>
            <w:tcW w:w="7848" w:type="dxa"/>
            <w:gridSpan w:val="2"/>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r>
      <w:tr w:rsidR="00165604" w:rsidTr="00165604">
        <w:tc>
          <w:tcPr>
            <w:tcW w:w="7848" w:type="dxa"/>
            <w:gridSpan w:val="2"/>
            <w:tcBorders>
              <w:top w:val="nil"/>
              <w:left w:val="nil"/>
              <w:bottom w:val="nil"/>
              <w:right w:val="nil"/>
            </w:tcBorders>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r>
      <w:tr w:rsidR="00165604" w:rsidTr="00165604">
        <w:tc>
          <w:tcPr>
            <w:tcW w:w="7848" w:type="dxa"/>
            <w:gridSpan w:val="2"/>
            <w:tcBorders>
              <w:top w:val="nil"/>
              <w:left w:val="nil"/>
              <w:bottom w:val="single" w:sz="8" w:space="0" w:color="4F81BD"/>
              <w:right w:val="nil"/>
            </w:tcBorders>
            <w:shd w:val="clear" w:color="auto" w:fill="DBE5F1"/>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5604" w:rsidRDefault="00165604">
            <w:pPr>
              <w:widowControl w:val="0"/>
              <w:tabs>
                <w:tab w:val="left" w:pos="900"/>
                <w:tab w:val="left" w:pos="6360"/>
              </w:tabs>
              <w:spacing w:line="294" w:lineRule="exact"/>
              <w:rPr>
                <w:rFonts w:ascii="Times New Roman" w:hAnsi="Times New Roman" w:cs="Times New Roman"/>
                <w:b/>
                <w:bCs/>
                <w:sz w:val="24"/>
                <w:szCs w:val="24"/>
              </w:rPr>
            </w:pPr>
          </w:p>
        </w:tc>
      </w:tr>
    </w:tbl>
    <w:p w:rsidR="00165604" w:rsidRDefault="00165604"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BF624B">
        <w:rPr>
          <w:rFonts w:ascii="Times New Roman" w:hAnsi="Times New Roman" w:cs="Times New Roman"/>
          <w:b/>
          <w:bCs/>
          <w:color w:val="264D74"/>
          <w:sz w:val="24"/>
          <w:szCs w:val="24"/>
        </w:rPr>
        <w:t>MOD-019-0.1</w:t>
      </w:r>
      <w:r w:rsidR="00856322">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Default="00C46F97" w:rsidP="00856322">
      <w:pPr>
        <w:widowControl w:val="0"/>
        <w:tabs>
          <w:tab w:val="left" w:pos="1080"/>
        </w:tabs>
        <w:spacing w:line="284" w:lineRule="exact"/>
        <w:ind w:left="1107" w:hanging="1467"/>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00856322">
        <w:rPr>
          <w:rFonts w:ascii="Times New Roman" w:hAnsi="Times New Roman" w:cs="Times New Roman"/>
          <w:bCs/>
          <w:color w:val="365F91"/>
          <w:sz w:val="24"/>
          <w:szCs w:val="24"/>
        </w:rPr>
        <w:t>____ Verify t</w:t>
      </w:r>
      <w:r w:rsidR="00856322" w:rsidRPr="00856322">
        <w:rPr>
          <w:rFonts w:ascii="Times New Roman" w:hAnsi="Times New Roman" w:cs="Times New Roman"/>
          <w:color w:val="365F91"/>
          <w:sz w:val="24"/>
          <w:szCs w:val="24"/>
        </w:rPr>
        <w:t>he L</w:t>
      </w:r>
      <w:r w:rsidR="00856322">
        <w:rPr>
          <w:rFonts w:ascii="Times New Roman" w:hAnsi="Times New Roman" w:cs="Times New Roman"/>
          <w:color w:val="365F91"/>
          <w:sz w:val="24"/>
          <w:szCs w:val="24"/>
        </w:rPr>
        <w:t>SE</w:t>
      </w:r>
      <w:r w:rsidR="00856322" w:rsidRPr="00856322">
        <w:rPr>
          <w:rFonts w:ascii="Times New Roman" w:hAnsi="Times New Roman" w:cs="Times New Roman"/>
          <w:color w:val="365F91"/>
          <w:sz w:val="24"/>
          <w:szCs w:val="24"/>
        </w:rPr>
        <w:t>, P</w:t>
      </w:r>
      <w:r w:rsidR="00856322">
        <w:rPr>
          <w:rFonts w:ascii="Times New Roman" w:hAnsi="Times New Roman" w:cs="Times New Roman"/>
          <w:color w:val="365F91"/>
          <w:sz w:val="24"/>
          <w:szCs w:val="24"/>
        </w:rPr>
        <w:t>A</w:t>
      </w:r>
      <w:r w:rsidR="00856322" w:rsidRPr="00856322">
        <w:rPr>
          <w:rFonts w:ascii="Times New Roman" w:hAnsi="Times New Roman" w:cs="Times New Roman"/>
          <w:color w:val="365F91"/>
          <w:sz w:val="24"/>
          <w:szCs w:val="24"/>
        </w:rPr>
        <w:t>, T</w:t>
      </w:r>
      <w:r w:rsidR="00856322">
        <w:rPr>
          <w:rFonts w:ascii="Times New Roman" w:hAnsi="Times New Roman" w:cs="Times New Roman"/>
          <w:color w:val="365F91"/>
          <w:sz w:val="24"/>
          <w:szCs w:val="24"/>
        </w:rPr>
        <w:t>P</w:t>
      </w:r>
      <w:r w:rsidR="00856322" w:rsidRPr="00856322">
        <w:rPr>
          <w:rFonts w:ascii="Times New Roman" w:hAnsi="Times New Roman" w:cs="Times New Roman"/>
          <w:color w:val="365F91"/>
          <w:sz w:val="24"/>
          <w:szCs w:val="24"/>
        </w:rPr>
        <w:t>, and R</w:t>
      </w:r>
      <w:r w:rsidR="00856322">
        <w:rPr>
          <w:rFonts w:ascii="Times New Roman" w:hAnsi="Times New Roman" w:cs="Times New Roman"/>
          <w:color w:val="365F91"/>
          <w:sz w:val="24"/>
          <w:szCs w:val="24"/>
        </w:rPr>
        <w:t>P</w:t>
      </w:r>
      <w:r w:rsidR="00856322" w:rsidRPr="00856322">
        <w:rPr>
          <w:rFonts w:ascii="Times New Roman" w:hAnsi="Times New Roman" w:cs="Times New Roman"/>
          <w:color w:val="365F91"/>
          <w:sz w:val="24"/>
          <w:szCs w:val="24"/>
        </w:rPr>
        <w:t xml:space="preserve"> each provide</w:t>
      </w:r>
      <w:r w:rsidR="00856322">
        <w:rPr>
          <w:rFonts w:ascii="Times New Roman" w:hAnsi="Times New Roman" w:cs="Times New Roman"/>
          <w:color w:val="365F91"/>
          <w:sz w:val="24"/>
          <w:szCs w:val="24"/>
        </w:rPr>
        <w:t>d</w:t>
      </w:r>
      <w:r w:rsidR="00856322" w:rsidRPr="00856322">
        <w:rPr>
          <w:rFonts w:ascii="Times New Roman" w:hAnsi="Times New Roman" w:cs="Times New Roman"/>
          <w:color w:val="365F91"/>
          <w:sz w:val="24"/>
          <w:szCs w:val="24"/>
        </w:rPr>
        <w:t xml:space="preserve"> annually</w:t>
      </w:r>
      <w:r w:rsidR="00142552">
        <w:rPr>
          <w:rFonts w:ascii="Times New Roman" w:hAnsi="Times New Roman" w:cs="Times New Roman"/>
          <w:color w:val="365F91"/>
          <w:sz w:val="24"/>
          <w:szCs w:val="24"/>
        </w:rPr>
        <w:t>,</w:t>
      </w:r>
      <w:r w:rsidR="00856322" w:rsidRPr="00856322">
        <w:rPr>
          <w:rFonts w:ascii="Times New Roman" w:hAnsi="Times New Roman" w:cs="Times New Roman"/>
          <w:color w:val="365F91"/>
          <w:sz w:val="24"/>
          <w:szCs w:val="24"/>
        </w:rPr>
        <w:t xml:space="preserve"> its forecasts of interruptible demands and Direct Control Load Management (DCLM) data for at least five years and up to ten years into the future, as requested, for summer and winter peak system conditions to NERC, the R</w:t>
      </w:r>
      <w:r w:rsidR="00856322">
        <w:rPr>
          <w:rFonts w:ascii="Times New Roman" w:hAnsi="Times New Roman" w:cs="Times New Roman"/>
          <w:color w:val="365F91"/>
          <w:sz w:val="24"/>
          <w:szCs w:val="24"/>
        </w:rPr>
        <w:t>RO</w:t>
      </w:r>
      <w:r w:rsidR="00856322" w:rsidRPr="00856322">
        <w:rPr>
          <w:rFonts w:ascii="Times New Roman" w:hAnsi="Times New Roman" w:cs="Times New Roman"/>
          <w:color w:val="365F91"/>
          <w:sz w:val="24"/>
          <w:szCs w:val="24"/>
        </w:rPr>
        <w:t>, and other entities (L</w:t>
      </w:r>
      <w:r w:rsidR="00856322">
        <w:rPr>
          <w:rFonts w:ascii="Times New Roman" w:hAnsi="Times New Roman" w:cs="Times New Roman"/>
          <w:color w:val="365F91"/>
          <w:sz w:val="24"/>
          <w:szCs w:val="24"/>
        </w:rPr>
        <w:t>SEs</w:t>
      </w:r>
      <w:r w:rsidR="00856322" w:rsidRPr="00856322">
        <w:rPr>
          <w:rFonts w:ascii="Times New Roman" w:hAnsi="Times New Roman" w:cs="Times New Roman"/>
          <w:color w:val="365F91"/>
          <w:sz w:val="24"/>
          <w:szCs w:val="24"/>
        </w:rPr>
        <w:t>, P</w:t>
      </w:r>
      <w:r w:rsidR="00856322">
        <w:rPr>
          <w:rFonts w:ascii="Times New Roman" w:hAnsi="Times New Roman" w:cs="Times New Roman"/>
          <w:color w:val="365F91"/>
          <w:sz w:val="24"/>
          <w:szCs w:val="24"/>
        </w:rPr>
        <w:t>As</w:t>
      </w:r>
      <w:r w:rsidR="00856322" w:rsidRPr="00856322">
        <w:rPr>
          <w:rFonts w:ascii="Times New Roman" w:hAnsi="Times New Roman" w:cs="Times New Roman"/>
          <w:color w:val="365F91"/>
          <w:sz w:val="24"/>
          <w:szCs w:val="24"/>
        </w:rPr>
        <w:t>, and R</w:t>
      </w:r>
      <w:r w:rsidR="00856322">
        <w:rPr>
          <w:rFonts w:ascii="Times New Roman" w:hAnsi="Times New Roman" w:cs="Times New Roman"/>
          <w:color w:val="365F91"/>
          <w:sz w:val="24"/>
          <w:szCs w:val="24"/>
        </w:rPr>
        <w:t>Ps</w:t>
      </w:r>
      <w:r w:rsidR="00856322" w:rsidRPr="00856322">
        <w:rPr>
          <w:rFonts w:ascii="Times New Roman" w:hAnsi="Times New Roman" w:cs="Times New Roman"/>
          <w:color w:val="365F91"/>
          <w:sz w:val="24"/>
          <w:szCs w:val="24"/>
        </w:rPr>
        <w:t>) as specified by the documentation in Reliability Standard MOD-016-1_R1</w:t>
      </w:r>
      <w:r w:rsidR="00856322">
        <w:rPr>
          <w:rFonts w:ascii="Times New Roman" w:hAnsi="Times New Roman" w:cs="Times New Roman"/>
          <w:color w:val="365F91"/>
          <w:sz w:val="24"/>
          <w:szCs w:val="24"/>
        </w:rPr>
        <w:t>.</w:t>
      </w:r>
    </w:p>
    <w:p w:rsidR="00856322" w:rsidRDefault="008563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A74C27" w:rsidRDefault="00BF624B" w:rsidP="00A74C27">
      <w:pPr>
        <w:pStyle w:val="Heading1"/>
      </w:pPr>
      <w:r>
        <w:br w:type="page"/>
      </w:r>
      <w:r w:rsidR="00A74C27">
        <w:t>Supplemental Information</w:t>
      </w:r>
    </w:p>
    <w:p w:rsidR="00E5031B" w:rsidRDefault="00E5031B" w:rsidP="00A74C27">
      <w:pPr>
        <w:widowControl w:val="0"/>
        <w:tabs>
          <w:tab w:val="left" w:pos="60"/>
        </w:tabs>
        <w:spacing w:line="240" w:lineRule="exact"/>
        <w:rPr>
          <w:rFonts w:ascii="Times New Roman" w:hAnsi="Times New Roman" w:cs="Times New Roman"/>
          <w:b/>
          <w:bCs/>
          <w:color w:val="264D74"/>
          <w:sz w:val="24"/>
          <w:szCs w:val="24"/>
        </w:rPr>
      </w:pPr>
    </w:p>
    <w:p w:rsidR="006B193F" w:rsidRPr="00A7057B" w:rsidRDefault="006B193F" w:rsidP="006B193F">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9C15EB">
        <w:t>Compliance Findings Summary</w:t>
      </w:r>
      <w:r>
        <w:t xml:space="preserve"> </w:t>
      </w:r>
      <w:r w:rsidRPr="001F77C7">
        <w:rPr>
          <w:sz w:val="20"/>
          <w:szCs w:val="20"/>
        </w:rPr>
        <w:t>(to be filled out by auditor)</w:t>
      </w:r>
    </w:p>
    <w:p w:rsidR="00E5031B" w:rsidRPr="00E5031B" w:rsidRDefault="00E5031B" w:rsidP="00E5031B"/>
    <w:tbl>
      <w:tblPr>
        <w:tblW w:w="0" w:type="auto"/>
        <w:tblLook w:val="00A0" w:firstRow="1" w:lastRow="0" w:firstColumn="1" w:lastColumn="0" w:noHBand="0" w:noVBand="0"/>
      </w:tblPr>
      <w:tblGrid>
        <w:gridCol w:w="692"/>
        <w:gridCol w:w="458"/>
        <w:gridCol w:w="572"/>
        <w:gridCol w:w="737"/>
        <w:gridCol w:w="563"/>
        <w:gridCol w:w="7994"/>
      </w:tblGrid>
      <w:tr w:rsidR="00165604" w:rsidRPr="008374A0" w:rsidTr="00165604">
        <w:tc>
          <w:tcPr>
            <w:tcW w:w="692" w:type="dxa"/>
            <w:tcBorders>
              <w:top w:val="single" w:sz="4" w:space="0" w:color="548DD4"/>
              <w:bottom w:val="single" w:sz="4" w:space="0" w:color="548DD4"/>
            </w:tcBorders>
          </w:tcPr>
          <w:p w:rsidR="00165604"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165604" w:rsidRPr="008374A0"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165604" w:rsidRPr="008374A0"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165604"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165604"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165604" w:rsidRPr="008374A0"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65604" w:rsidRPr="008374A0" w:rsidTr="0016560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165604" w:rsidRPr="008374A0"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165604" w:rsidRPr="008374A0"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165604" w:rsidRPr="008374A0" w:rsidRDefault="00165604"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165604" w:rsidRPr="008374A0" w:rsidRDefault="00165604"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165604" w:rsidRPr="008374A0" w:rsidRDefault="00165604"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165604" w:rsidRPr="008374A0" w:rsidRDefault="00165604"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856322"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A05C2A">
        <w:rPr>
          <w:rFonts w:ascii="Times New Roman" w:hAnsi="Times New Roman" w:cs="Times New Roman"/>
          <w:b/>
          <w:sz w:val="24"/>
          <w:szCs w:val="24"/>
        </w:rPr>
        <w:t>August 2010</w:t>
      </w:r>
    </w:p>
    <w:p w:rsidR="004F76E4" w:rsidRDefault="00856322"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w:t>
      </w:r>
      <w:r w:rsidR="004F76E4">
        <w:rPr>
          <w:rFonts w:ascii="Times New Roman" w:hAnsi="Times New Roman" w:cs="Times New Roman"/>
          <w:b/>
          <w:sz w:val="24"/>
          <w:szCs w:val="24"/>
        </w:rPr>
        <w:t>-0</w:t>
      </w:r>
      <w:r>
        <w:rPr>
          <w:rFonts w:ascii="Times New Roman" w:hAnsi="Times New Roman" w:cs="Times New Roman"/>
          <w:b/>
          <w:sz w:val="24"/>
          <w:szCs w:val="24"/>
        </w:rPr>
        <w:t>19</w:t>
      </w:r>
      <w:r w:rsidR="004F76E4">
        <w:rPr>
          <w:rFonts w:ascii="Times New Roman" w:hAnsi="Times New Roman" w:cs="Times New Roman"/>
          <w:b/>
          <w:sz w:val="24"/>
          <w:szCs w:val="24"/>
        </w:rPr>
        <w:t>-</w:t>
      </w:r>
      <w:r>
        <w:rPr>
          <w:rFonts w:ascii="Times New Roman" w:hAnsi="Times New Roman" w:cs="Times New Roman"/>
          <w:b/>
          <w:sz w:val="24"/>
          <w:szCs w:val="24"/>
        </w:rPr>
        <w:t>0.1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sidRPr="00E5031B">
        <w:rPr>
          <w:rFonts w:ascii="Times New Roman" w:hAnsi="Times New Roman" w:cs="Times New Roman"/>
          <w:b/>
          <w:sz w:val="24"/>
          <w:szCs w:val="24"/>
        </w:rPr>
        <w:t>Order 693</w:t>
      </w:r>
    </w:p>
    <w:p w:rsidR="004F76E4" w:rsidRDefault="004F76E4" w:rsidP="004F76E4">
      <w:pPr>
        <w:pStyle w:val="Header"/>
        <w:jc w:val="right"/>
        <w:rPr>
          <w:rFonts w:ascii="Times New Roman" w:hAnsi="Times New Roman" w:cs="Times New Roman"/>
          <w:sz w:val="24"/>
          <w:szCs w:val="24"/>
        </w:rPr>
      </w:pPr>
    </w:p>
    <w:p w:rsidR="001E66C7" w:rsidRPr="00F500A8" w:rsidRDefault="001E66C7" w:rsidP="001E66C7">
      <w:pPr>
        <w:rPr>
          <w:rFonts w:ascii="Times New Roman" w:hAnsi="Times New Roman" w:cs="Times New Roman"/>
          <w:sz w:val="24"/>
          <w:szCs w:val="24"/>
        </w:rPr>
      </w:pPr>
      <w:r w:rsidRPr="00F500A8">
        <w:rPr>
          <w:rFonts w:ascii="Times New Roman" w:hAnsi="Times New Roman" w:cs="Times New Roman"/>
          <w:sz w:val="24"/>
          <w:szCs w:val="24"/>
        </w:rPr>
        <w:t>1274. The Commission approves MOD-019-0 as mandatory and enforceable. In</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addition, the Commission directs the ERO to modify MOD-019-0 as discussed below.</w:t>
      </w:r>
    </w:p>
    <w:p w:rsidR="00F500A8" w:rsidRPr="00F500A8" w:rsidRDefault="00F500A8" w:rsidP="001E66C7">
      <w:pPr>
        <w:rPr>
          <w:rFonts w:ascii="Times New Roman" w:hAnsi="Times New Roman" w:cs="Times New Roman"/>
          <w:sz w:val="24"/>
          <w:szCs w:val="24"/>
        </w:rPr>
      </w:pPr>
    </w:p>
    <w:p w:rsidR="001E66C7" w:rsidRPr="00F500A8" w:rsidRDefault="001E66C7" w:rsidP="001E66C7">
      <w:pPr>
        <w:rPr>
          <w:rFonts w:ascii="Times New Roman" w:hAnsi="Times New Roman" w:cs="Times New Roman"/>
          <w:sz w:val="24"/>
          <w:szCs w:val="24"/>
        </w:rPr>
      </w:pPr>
      <w:r w:rsidRPr="00F500A8">
        <w:rPr>
          <w:rFonts w:ascii="Times New Roman" w:hAnsi="Times New Roman" w:cs="Times New Roman"/>
          <w:sz w:val="24"/>
          <w:szCs w:val="24"/>
        </w:rPr>
        <w:t>1275. As an initial matter, we disagree that MOD-019-0 cannot be implemented</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because it is dependent on MOD-016-0, which further depends on various unapproved</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standards. As previously stated, we direct the ERO to provide a Work Plan and</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compliance filing regarding the collection of information specified under related</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standards that are deferred, and believe there should be no difficulties complying with</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this Reliability Standard. We reiterate that ongoing collection of data is necessary to</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maintain system reliability, and approval of MOD-019-0 will help to achieve this goal.</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We therefore direct the ERO to use its authority pursuant to § 39.2(d) of our regulations</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to require users, owners and operators to provide to the Regional Entity information</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related to forecasts of interruptible demands and direct control load management.</w:t>
      </w:r>
    </w:p>
    <w:p w:rsidR="00F500A8" w:rsidRPr="00F500A8" w:rsidRDefault="00F500A8" w:rsidP="001E66C7">
      <w:pPr>
        <w:rPr>
          <w:rFonts w:ascii="Times New Roman" w:hAnsi="Times New Roman" w:cs="Times New Roman"/>
          <w:sz w:val="24"/>
          <w:szCs w:val="24"/>
        </w:rPr>
      </w:pPr>
    </w:p>
    <w:p w:rsidR="001E66C7" w:rsidRPr="00F500A8" w:rsidRDefault="001E66C7" w:rsidP="00F500A8">
      <w:pPr>
        <w:rPr>
          <w:rFonts w:ascii="Times New Roman" w:hAnsi="Times New Roman" w:cs="Times New Roman"/>
          <w:sz w:val="24"/>
          <w:szCs w:val="24"/>
        </w:rPr>
      </w:pPr>
      <w:r w:rsidRPr="00F500A8">
        <w:rPr>
          <w:rFonts w:ascii="Times New Roman" w:hAnsi="Times New Roman" w:cs="Times New Roman"/>
          <w:sz w:val="24"/>
          <w:szCs w:val="24"/>
        </w:rPr>
        <w:t>1276. The Commission adopts the NOPR proposal directing the ERO to modify this</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standard to require reporting of the accuracy, error and bias of controllable load forecasts.</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This requirement will enable planners to get a more reliable picture of the amount of</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controllable load that is actually available, therefore allowing planners to conduct more</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accurate system reliability assessments. The Commission finds that controllable load can</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be as reliable as other resources, and therefore should also be subject to the same</w:t>
      </w:r>
      <w:r w:rsidR="00F500A8" w:rsidRPr="00F500A8">
        <w:rPr>
          <w:rFonts w:ascii="Times New Roman" w:hAnsi="Times New Roman" w:cs="Times New Roman"/>
          <w:sz w:val="24"/>
          <w:szCs w:val="24"/>
        </w:rPr>
        <w:t xml:space="preserve"> reporting </w:t>
      </w:r>
      <w:r w:rsidRPr="00F500A8">
        <w:rPr>
          <w:rFonts w:ascii="Times New Roman" w:hAnsi="Times New Roman" w:cs="Times New Roman"/>
          <w:sz w:val="24"/>
          <w:szCs w:val="24"/>
        </w:rPr>
        <w:t>requirements. Although we recognize that verifying load control devices and</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interruptible loads may be complex, we do not believe that it is overly so. Further, we</w:t>
      </w:r>
      <w:r w:rsidR="00F500A8" w:rsidRPr="00F500A8">
        <w:rPr>
          <w:rFonts w:ascii="Times New Roman" w:hAnsi="Times New Roman" w:cs="Times New Roman"/>
          <w:sz w:val="24"/>
          <w:szCs w:val="24"/>
        </w:rPr>
        <w:t xml:space="preserve"> believe that the </w:t>
      </w:r>
      <w:r w:rsidRPr="00F500A8">
        <w:rPr>
          <w:rFonts w:ascii="Times New Roman" w:hAnsi="Times New Roman" w:cs="Times New Roman"/>
          <w:sz w:val="24"/>
          <w:szCs w:val="24"/>
        </w:rPr>
        <w:t>ERO, through its Reliability Standards development process can develop</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innovative solutions to the Commission’s concern. We also note that EEI is concerned</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about such testing at times of peak load. We clarify that we are not requiring the testing</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to be conducted at peak load conditions. Consequently, we reject the proposals of EEI,</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FirstEnergy and International Transmission to discard the requirement for reporting of</w:t>
      </w:r>
      <w:r w:rsidR="00F500A8" w:rsidRPr="00F500A8">
        <w:rPr>
          <w:rFonts w:ascii="Times New Roman" w:hAnsi="Times New Roman" w:cs="Times New Roman"/>
          <w:sz w:val="24"/>
          <w:szCs w:val="24"/>
        </w:rPr>
        <w:t xml:space="preserve"> the accuracy, </w:t>
      </w:r>
      <w:r w:rsidRPr="00F500A8">
        <w:rPr>
          <w:rFonts w:ascii="Times New Roman" w:hAnsi="Times New Roman" w:cs="Times New Roman"/>
          <w:sz w:val="24"/>
          <w:szCs w:val="24"/>
        </w:rPr>
        <w:t>error and bias of controllable load forecasts.</w:t>
      </w:r>
    </w:p>
    <w:p w:rsidR="00F500A8" w:rsidRPr="00F500A8" w:rsidRDefault="00F500A8" w:rsidP="001E66C7">
      <w:pPr>
        <w:rPr>
          <w:rFonts w:ascii="Times New Roman" w:hAnsi="Times New Roman" w:cs="Times New Roman"/>
          <w:sz w:val="24"/>
          <w:szCs w:val="24"/>
        </w:rPr>
      </w:pPr>
    </w:p>
    <w:p w:rsidR="001E66C7" w:rsidRPr="00F500A8" w:rsidRDefault="001E66C7" w:rsidP="001E66C7">
      <w:pPr>
        <w:rPr>
          <w:rFonts w:ascii="Times New Roman" w:hAnsi="Times New Roman" w:cs="Times New Roman"/>
          <w:sz w:val="24"/>
          <w:szCs w:val="24"/>
        </w:rPr>
      </w:pPr>
      <w:r w:rsidRPr="00F500A8">
        <w:rPr>
          <w:rFonts w:ascii="Times New Roman" w:hAnsi="Times New Roman" w:cs="Times New Roman"/>
          <w:sz w:val="24"/>
          <w:szCs w:val="24"/>
        </w:rPr>
        <w:t>1277. We direct the ERO to include APPA’s proposal in the Reliability Standards</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development process to add a new requirement to MOD-019-0 that would oblige resource</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planners to analyze differences between actual and forecasted demands for the five years</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of actual controllable load and identify what corrective actions should be taken to</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improve controllable load forecasting for the 10-year planning horizon.</w:t>
      </w:r>
    </w:p>
    <w:p w:rsidR="001E66C7" w:rsidRPr="00F500A8" w:rsidRDefault="001E66C7" w:rsidP="00F500A8">
      <w:pPr>
        <w:rPr>
          <w:rFonts w:ascii="Times New Roman" w:hAnsi="Times New Roman" w:cs="Times New Roman"/>
          <w:sz w:val="24"/>
          <w:szCs w:val="24"/>
        </w:rPr>
      </w:pPr>
      <w:r w:rsidRPr="00F500A8">
        <w:rPr>
          <w:rFonts w:ascii="Times New Roman" w:hAnsi="Times New Roman" w:cs="Times New Roman"/>
          <w:sz w:val="24"/>
          <w:szCs w:val="24"/>
        </w:rPr>
        <w:t>1278. Regarding TAPS’ concern that reporting accuracy could be used as a compliance</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Measure, we clarify that compliance Measures for this Reliability Standard do not</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include accuracy as a compliance measure. Any change in this policy would be arrived at</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in the ERO Reliability Standards development process.</w:t>
      </w:r>
    </w:p>
    <w:p w:rsidR="001E66C7" w:rsidRPr="00F500A8" w:rsidRDefault="001E66C7" w:rsidP="001E66C7">
      <w:pPr>
        <w:pStyle w:val="Header"/>
        <w:rPr>
          <w:rFonts w:ascii="Times New Roman" w:hAnsi="Times New Roman" w:cs="Times New Roman"/>
          <w:sz w:val="24"/>
          <w:szCs w:val="24"/>
        </w:rPr>
      </w:pPr>
    </w:p>
    <w:p w:rsidR="004F76E4" w:rsidRDefault="001E66C7" w:rsidP="004F76E4">
      <w:pPr>
        <w:pStyle w:val="Header"/>
        <w:jc w:val="right"/>
        <w:rPr>
          <w:rFonts w:ascii="Times New Roman" w:hAnsi="Times New Roman" w:cs="Times New Roman"/>
          <w:sz w:val="24"/>
          <w:szCs w:val="24"/>
        </w:rPr>
      </w:pPr>
      <w:r w:rsidRPr="00F500A8">
        <w:rPr>
          <w:rFonts w:ascii="Times New Roman" w:hAnsi="Times New Roman" w:cs="Times New Roman"/>
          <w:sz w:val="24"/>
          <w:szCs w:val="24"/>
        </w:rPr>
        <w:t>1279. Accordingly, the Commission approves MOD-019-0 as mandatory and</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enforceable. In addition, the Commission directs the ERO to develop a modification to</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MOD-019-0 through the Reliability Standards development process to require: (1)</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reporting of the accuracy, error and bias of controllable load forecasts and (2) analyzing</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differences between actual and forecasted demands for the five years of actual</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controllable load and identify what corrective actions should be taken to improve</w:t>
      </w:r>
      <w:r w:rsidR="00F500A8" w:rsidRPr="00F500A8">
        <w:rPr>
          <w:rFonts w:ascii="Times New Roman" w:hAnsi="Times New Roman" w:cs="Times New Roman"/>
          <w:sz w:val="24"/>
          <w:szCs w:val="24"/>
        </w:rPr>
        <w:t xml:space="preserve"> </w:t>
      </w:r>
      <w:r w:rsidRPr="00F500A8">
        <w:rPr>
          <w:rFonts w:ascii="Times New Roman" w:hAnsi="Times New Roman" w:cs="Times New Roman"/>
          <w:sz w:val="24"/>
          <w:szCs w:val="24"/>
        </w:rPr>
        <w:t>controllable load forecasting for the 10-year planning horizon.</w:t>
      </w: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9C15EB" w:rsidRDefault="009C15EB"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24304E" w:rsidRDefault="0024304E" w:rsidP="004F76E4">
      <w:pPr>
        <w:rPr>
          <w:rFonts w:ascii="Times New Roman" w:hAnsi="Times New Roman" w:cs="Times New Roman"/>
          <w:b/>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778"/>
      </w:tblGrid>
      <w:tr w:rsidR="004F76E4" w:rsidRPr="00B2607F" w:rsidTr="009C15EB">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77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9C15EB">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856322"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4F76E4" w:rsidRPr="00B2607F" w:rsidRDefault="00856322" w:rsidP="000A5C28">
            <w:pPr>
              <w:rPr>
                <w:rFonts w:ascii="Times New Roman" w:hAnsi="Times New Roman" w:cs="Times New Roman"/>
                <w:sz w:val="24"/>
                <w:szCs w:val="24"/>
              </w:rPr>
            </w:pPr>
            <w:r>
              <w:rPr>
                <w:rFonts w:ascii="Times New Roman" w:hAnsi="Times New Roman" w:cs="Times New Roman"/>
                <w:sz w:val="24"/>
                <w:szCs w:val="24"/>
              </w:rPr>
              <w:t>RSAW Work</w:t>
            </w:r>
            <w:r w:rsidR="00E5031B">
              <w:rPr>
                <w:rFonts w:ascii="Times New Roman" w:hAnsi="Times New Roman" w:cs="Times New Roman"/>
                <w:sz w:val="24"/>
                <w:szCs w:val="24"/>
              </w:rPr>
              <w:t>ing</w:t>
            </w:r>
            <w:r>
              <w:rPr>
                <w:rFonts w:ascii="Times New Roman" w:hAnsi="Times New Roman" w:cs="Times New Roman"/>
                <w:sz w:val="24"/>
                <w:szCs w:val="24"/>
              </w:rPr>
              <w:t xml:space="preserve"> Group</w:t>
            </w:r>
          </w:p>
        </w:tc>
        <w:tc>
          <w:tcPr>
            <w:tcW w:w="5778" w:type="dxa"/>
          </w:tcPr>
          <w:p w:rsidR="004F76E4" w:rsidRPr="00B2607F" w:rsidRDefault="00856322" w:rsidP="000A5C28">
            <w:pPr>
              <w:rPr>
                <w:rFonts w:ascii="Times New Roman" w:hAnsi="Times New Roman" w:cs="Times New Roman"/>
                <w:sz w:val="24"/>
                <w:szCs w:val="24"/>
              </w:rPr>
            </w:pPr>
            <w:r>
              <w:rPr>
                <w:rFonts w:ascii="Times New Roman" w:hAnsi="Times New Roman" w:cs="Times New Roman"/>
                <w:sz w:val="24"/>
                <w:szCs w:val="24"/>
              </w:rPr>
              <w:t>New</w:t>
            </w:r>
            <w:r w:rsidR="00142552">
              <w:rPr>
                <w:rFonts w:ascii="Times New Roman" w:hAnsi="Times New Roman" w:cs="Times New Roman"/>
                <w:sz w:val="24"/>
                <w:szCs w:val="24"/>
              </w:rPr>
              <w:t xml:space="preserve"> Document</w:t>
            </w:r>
          </w:p>
        </w:tc>
      </w:tr>
      <w:tr w:rsidR="004F76E4" w:rsidRPr="00B2607F" w:rsidTr="009C15EB">
        <w:tc>
          <w:tcPr>
            <w:tcW w:w="1016" w:type="dxa"/>
          </w:tcPr>
          <w:p w:rsidR="004F76E4" w:rsidRPr="00B2607F" w:rsidRDefault="00E5031B"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E5031B"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4F76E4" w:rsidRPr="00B2607F" w:rsidRDefault="00E5031B" w:rsidP="000A5C2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778" w:type="dxa"/>
          </w:tcPr>
          <w:p w:rsidR="004F76E4" w:rsidRPr="00B2607F" w:rsidRDefault="00E5031B"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9C15EB">
        <w:tc>
          <w:tcPr>
            <w:tcW w:w="1016" w:type="dxa"/>
          </w:tcPr>
          <w:p w:rsidR="004F76E4" w:rsidRPr="00B2607F" w:rsidRDefault="0016560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165604"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340" w:type="dxa"/>
          </w:tcPr>
          <w:p w:rsidR="004F76E4" w:rsidRPr="00B2607F" w:rsidRDefault="00165604" w:rsidP="000A5C28">
            <w:pPr>
              <w:rPr>
                <w:rFonts w:ascii="Times New Roman" w:hAnsi="Times New Roman" w:cs="Times New Roman"/>
                <w:sz w:val="24"/>
                <w:szCs w:val="24"/>
              </w:rPr>
            </w:pPr>
            <w:r>
              <w:rPr>
                <w:rFonts w:ascii="Times New Roman" w:hAnsi="Times New Roman" w:cs="Times New Roman"/>
                <w:sz w:val="24"/>
                <w:szCs w:val="24"/>
              </w:rPr>
              <w:t>QRSAW WG</w:t>
            </w:r>
          </w:p>
        </w:tc>
        <w:tc>
          <w:tcPr>
            <w:tcW w:w="5778" w:type="dxa"/>
          </w:tcPr>
          <w:p w:rsidR="004F76E4" w:rsidRPr="00B2607F" w:rsidRDefault="00165604" w:rsidP="000A5C2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9C15EB" w:rsidTr="009C15EB">
        <w:tc>
          <w:tcPr>
            <w:tcW w:w="1016" w:type="dxa"/>
            <w:tcBorders>
              <w:top w:val="single" w:sz="4" w:space="0" w:color="000000"/>
              <w:left w:val="single" w:sz="4" w:space="0" w:color="000000"/>
              <w:bottom w:val="single" w:sz="4" w:space="0" w:color="000000"/>
              <w:right w:val="single" w:sz="4" w:space="0" w:color="000000"/>
            </w:tcBorders>
          </w:tcPr>
          <w:p w:rsidR="009C15EB" w:rsidRDefault="009C15EB" w:rsidP="00020854">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C15EB" w:rsidRDefault="009C15EB" w:rsidP="00020854">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9C15EB" w:rsidRDefault="009C15EB" w:rsidP="00020854">
            <w:pPr>
              <w:rPr>
                <w:rFonts w:ascii="Times New Roman" w:hAnsi="Times New Roman" w:cs="Times New Roman"/>
                <w:sz w:val="24"/>
                <w:szCs w:val="24"/>
              </w:rPr>
            </w:pPr>
            <w:r>
              <w:rPr>
                <w:rFonts w:ascii="Times New Roman" w:hAnsi="Times New Roman" w:cs="Times New Roman"/>
                <w:sz w:val="24"/>
                <w:szCs w:val="24"/>
              </w:rPr>
              <w:t>Craig Struck</w:t>
            </w:r>
          </w:p>
        </w:tc>
        <w:tc>
          <w:tcPr>
            <w:tcW w:w="5778" w:type="dxa"/>
            <w:tcBorders>
              <w:top w:val="single" w:sz="4" w:space="0" w:color="000000"/>
              <w:left w:val="single" w:sz="4" w:space="0" w:color="000000"/>
              <w:bottom w:val="single" w:sz="4" w:space="0" w:color="000000"/>
              <w:right w:val="single" w:sz="4" w:space="0" w:color="000000"/>
            </w:tcBorders>
          </w:tcPr>
          <w:p w:rsidR="009C15EB" w:rsidRDefault="009C15EB" w:rsidP="0002085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9C15EB">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778" w:type="dxa"/>
          </w:tcPr>
          <w:p w:rsidR="004F76E4" w:rsidRPr="00B2607F" w:rsidRDefault="004F76E4" w:rsidP="000A5C28">
            <w:pPr>
              <w:rPr>
                <w:rFonts w:ascii="Times New Roman" w:hAnsi="Times New Roman" w:cs="Times New Roman"/>
                <w:sz w:val="24"/>
                <w:szCs w:val="24"/>
              </w:rPr>
            </w:pPr>
          </w:p>
        </w:tc>
      </w:tr>
      <w:tr w:rsidR="004F76E4" w:rsidRPr="00B2607F" w:rsidTr="009C15EB">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778" w:type="dxa"/>
          </w:tcPr>
          <w:p w:rsidR="004F76E4" w:rsidRPr="00B2607F" w:rsidRDefault="004F76E4" w:rsidP="000A5C28">
            <w:pPr>
              <w:rPr>
                <w:rFonts w:ascii="Times New Roman" w:hAnsi="Times New Roman" w:cs="Times New Roman"/>
                <w:sz w:val="24"/>
                <w:szCs w:val="24"/>
              </w:rPr>
            </w:pPr>
          </w:p>
        </w:tc>
      </w:tr>
      <w:tr w:rsidR="004F76E4" w:rsidRPr="00B2607F" w:rsidTr="009C15EB">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778"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E28" w:rsidRDefault="00602E28">
      <w:r>
        <w:separator/>
      </w:r>
    </w:p>
  </w:endnote>
  <w:endnote w:type="continuationSeparator" w:id="0">
    <w:p w:rsidR="00602E28" w:rsidRDefault="0060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82E" w:rsidRDefault="009218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99F" w:rsidRPr="00323003" w:rsidRDefault="00FB099F"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FB099F" w:rsidRPr="00323003" w:rsidRDefault="00FB099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FB099F" w:rsidRPr="00323003" w:rsidRDefault="00FB099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FB099F" w:rsidRPr="00323003" w:rsidRDefault="00FB099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FB099F" w:rsidRDefault="00FB099F"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FB099F" w:rsidRPr="00872AF8" w:rsidRDefault="00FB099F"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MOD-019-0.1</w:t>
    </w:r>
    <w:r w:rsidRPr="00872AF8">
      <w:rPr>
        <w:rFonts w:ascii="Times New Roman" w:hAnsi="Times New Roman"/>
        <w:sz w:val="18"/>
        <w:szCs w:val="18"/>
      </w:rPr>
      <w:t>_</w:t>
    </w:r>
    <w:r>
      <w:rPr>
        <w:rFonts w:ascii="Times New Roman" w:hAnsi="Times New Roman"/>
        <w:sz w:val="18"/>
        <w:szCs w:val="18"/>
      </w:rPr>
      <w:t xml:space="preserve"> 201</w:t>
    </w:r>
    <w:r w:rsidR="00D51BB7">
      <w:rPr>
        <w:rFonts w:ascii="Times New Roman" w:hAnsi="Times New Roman"/>
        <w:sz w:val="18"/>
        <w:szCs w:val="18"/>
      </w:rPr>
      <w:t>1</w:t>
    </w:r>
    <w:r w:rsidRPr="00872AF8">
      <w:rPr>
        <w:rFonts w:ascii="Times New Roman" w:hAnsi="Times New Roman"/>
        <w:sz w:val="18"/>
        <w:szCs w:val="18"/>
      </w:rPr>
      <w:t>_v1</w:t>
    </w:r>
  </w:p>
  <w:p w:rsidR="00FB099F" w:rsidRPr="00872AF8" w:rsidRDefault="00FB099F"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D51BB7">
      <w:rPr>
        <w:rFonts w:ascii="Times New Roman" w:hAnsi="Times New Roman" w:cs="Times New Roman"/>
        <w:color w:val="000000"/>
        <w:sz w:val="18"/>
        <w:szCs w:val="18"/>
      </w:rPr>
      <w:t>January 2011</w:t>
    </w:r>
  </w:p>
  <w:p w:rsidR="00FB099F" w:rsidRPr="00323003" w:rsidRDefault="00FB099F"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266926">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82E" w:rsidRDefault="009218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E28" w:rsidRDefault="00602E28">
      <w:r>
        <w:separator/>
      </w:r>
    </w:p>
  </w:footnote>
  <w:footnote w:type="continuationSeparator" w:id="0">
    <w:p w:rsidR="00602E28" w:rsidRDefault="00602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82E" w:rsidRDefault="00921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99F" w:rsidRDefault="00FB099F">
    <w:pPr>
      <w:widowControl w:val="0"/>
      <w:spacing w:line="240" w:lineRule="exact"/>
      <w:rPr>
        <w:rFonts w:cs="Times New Roman"/>
      </w:rPr>
    </w:pPr>
  </w:p>
  <w:p w:rsidR="00FB099F" w:rsidRPr="006813F3" w:rsidRDefault="00FB099F" w:rsidP="00E5031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B099F" w:rsidRPr="006813F3" w:rsidRDefault="0092182E" w:rsidP="00E5031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B099F" w:rsidRDefault="009D4907">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FB099F" w:rsidRDefault="00FB099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82E" w:rsidRDefault="00921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2729E78"/>
    <w:lvl w:ilvl="0">
      <w:start w:val="1"/>
      <w:numFmt w:val="decimal"/>
      <w:pStyle w:val="Requirement"/>
      <w:lvlText w:val="R%1."/>
      <w:lvlJc w:val="left"/>
      <w:pPr>
        <w:tabs>
          <w:tab w:val="num" w:pos="936"/>
        </w:tabs>
        <w:ind w:left="936" w:hanging="576"/>
      </w:pPr>
      <w:rPr>
        <w:rFonts w:hint="default"/>
        <w:b/>
        <w:i w:val="0"/>
        <w:color w:val="auto"/>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20854"/>
    <w:rsid w:val="00032BC0"/>
    <w:rsid w:val="00042D7B"/>
    <w:rsid w:val="00057A68"/>
    <w:rsid w:val="00075EC2"/>
    <w:rsid w:val="000A4478"/>
    <w:rsid w:val="000A5C28"/>
    <w:rsid w:val="000B4B1F"/>
    <w:rsid w:val="000E2855"/>
    <w:rsid w:val="000F0A1C"/>
    <w:rsid w:val="000F4AF6"/>
    <w:rsid w:val="000F4D35"/>
    <w:rsid w:val="000F5E13"/>
    <w:rsid w:val="00100FD6"/>
    <w:rsid w:val="001065D0"/>
    <w:rsid w:val="00116F8E"/>
    <w:rsid w:val="001308E2"/>
    <w:rsid w:val="00142552"/>
    <w:rsid w:val="00165604"/>
    <w:rsid w:val="00192C6D"/>
    <w:rsid w:val="001A60CC"/>
    <w:rsid w:val="001D467F"/>
    <w:rsid w:val="001E66C7"/>
    <w:rsid w:val="00207A7A"/>
    <w:rsid w:val="0024304E"/>
    <w:rsid w:val="002430C4"/>
    <w:rsid w:val="002478D9"/>
    <w:rsid w:val="00260B45"/>
    <w:rsid w:val="00266926"/>
    <w:rsid w:val="00281790"/>
    <w:rsid w:val="002C6986"/>
    <w:rsid w:val="00323003"/>
    <w:rsid w:val="0035604C"/>
    <w:rsid w:val="00357F68"/>
    <w:rsid w:val="0036144D"/>
    <w:rsid w:val="00396135"/>
    <w:rsid w:val="003B631E"/>
    <w:rsid w:val="003E0982"/>
    <w:rsid w:val="003E5FE5"/>
    <w:rsid w:val="003E7EDF"/>
    <w:rsid w:val="0040362C"/>
    <w:rsid w:val="00404D27"/>
    <w:rsid w:val="00426E53"/>
    <w:rsid w:val="00443293"/>
    <w:rsid w:val="004550E5"/>
    <w:rsid w:val="00464DE7"/>
    <w:rsid w:val="00473790"/>
    <w:rsid w:val="0047382D"/>
    <w:rsid w:val="004A25CF"/>
    <w:rsid w:val="004E0362"/>
    <w:rsid w:val="004F76E4"/>
    <w:rsid w:val="005136A0"/>
    <w:rsid w:val="00541D2D"/>
    <w:rsid w:val="0055246A"/>
    <w:rsid w:val="00565AEF"/>
    <w:rsid w:val="00584E75"/>
    <w:rsid w:val="0059110B"/>
    <w:rsid w:val="005916FC"/>
    <w:rsid w:val="005934DC"/>
    <w:rsid w:val="005D1D5C"/>
    <w:rsid w:val="005D58A1"/>
    <w:rsid w:val="0060060E"/>
    <w:rsid w:val="00602E28"/>
    <w:rsid w:val="006050BE"/>
    <w:rsid w:val="00607435"/>
    <w:rsid w:val="00613FA3"/>
    <w:rsid w:val="0062416A"/>
    <w:rsid w:val="00647DE9"/>
    <w:rsid w:val="00656ADB"/>
    <w:rsid w:val="00675E27"/>
    <w:rsid w:val="00684DDA"/>
    <w:rsid w:val="006B193F"/>
    <w:rsid w:val="006B2035"/>
    <w:rsid w:val="006E1CC0"/>
    <w:rsid w:val="0071094E"/>
    <w:rsid w:val="00756289"/>
    <w:rsid w:val="0079134B"/>
    <w:rsid w:val="007A0E0C"/>
    <w:rsid w:val="007B45C5"/>
    <w:rsid w:val="007C44D6"/>
    <w:rsid w:val="007C659D"/>
    <w:rsid w:val="00832FF7"/>
    <w:rsid w:val="008539DC"/>
    <w:rsid w:val="00853A30"/>
    <w:rsid w:val="00856322"/>
    <w:rsid w:val="00861282"/>
    <w:rsid w:val="00894768"/>
    <w:rsid w:val="00894CCA"/>
    <w:rsid w:val="008C5E4C"/>
    <w:rsid w:val="008F2767"/>
    <w:rsid w:val="00917067"/>
    <w:rsid w:val="0092182E"/>
    <w:rsid w:val="00927FDE"/>
    <w:rsid w:val="00937B5C"/>
    <w:rsid w:val="00952818"/>
    <w:rsid w:val="009A1984"/>
    <w:rsid w:val="009C039C"/>
    <w:rsid w:val="009C15EB"/>
    <w:rsid w:val="009C4318"/>
    <w:rsid w:val="009C4340"/>
    <w:rsid w:val="009D3D62"/>
    <w:rsid w:val="009D4907"/>
    <w:rsid w:val="00A05C2A"/>
    <w:rsid w:val="00A10643"/>
    <w:rsid w:val="00A40A99"/>
    <w:rsid w:val="00A74C27"/>
    <w:rsid w:val="00A86374"/>
    <w:rsid w:val="00AD5422"/>
    <w:rsid w:val="00AE6A3E"/>
    <w:rsid w:val="00B06DE8"/>
    <w:rsid w:val="00B258AF"/>
    <w:rsid w:val="00B435EE"/>
    <w:rsid w:val="00B608A3"/>
    <w:rsid w:val="00BB611C"/>
    <w:rsid w:val="00BE1264"/>
    <w:rsid w:val="00BE2A33"/>
    <w:rsid w:val="00BF207D"/>
    <w:rsid w:val="00BF3B49"/>
    <w:rsid w:val="00BF624B"/>
    <w:rsid w:val="00C060E7"/>
    <w:rsid w:val="00C11EDD"/>
    <w:rsid w:val="00C23A94"/>
    <w:rsid w:val="00C46F97"/>
    <w:rsid w:val="00C568DC"/>
    <w:rsid w:val="00C67301"/>
    <w:rsid w:val="00CC452E"/>
    <w:rsid w:val="00CD08F5"/>
    <w:rsid w:val="00CF5895"/>
    <w:rsid w:val="00D311F8"/>
    <w:rsid w:val="00D33732"/>
    <w:rsid w:val="00D45934"/>
    <w:rsid w:val="00D51BB7"/>
    <w:rsid w:val="00D54754"/>
    <w:rsid w:val="00D5513A"/>
    <w:rsid w:val="00D830A2"/>
    <w:rsid w:val="00DA44A1"/>
    <w:rsid w:val="00DB1295"/>
    <w:rsid w:val="00DE3654"/>
    <w:rsid w:val="00E0105E"/>
    <w:rsid w:val="00E10CB5"/>
    <w:rsid w:val="00E32333"/>
    <w:rsid w:val="00E5031B"/>
    <w:rsid w:val="00E57E67"/>
    <w:rsid w:val="00E679D3"/>
    <w:rsid w:val="00E8453A"/>
    <w:rsid w:val="00E93387"/>
    <w:rsid w:val="00EB2DD5"/>
    <w:rsid w:val="00EC1F61"/>
    <w:rsid w:val="00ED0E7C"/>
    <w:rsid w:val="00EE621B"/>
    <w:rsid w:val="00F009F3"/>
    <w:rsid w:val="00F25EC5"/>
    <w:rsid w:val="00F500A8"/>
    <w:rsid w:val="00F7559B"/>
    <w:rsid w:val="00F81A4E"/>
    <w:rsid w:val="00FB099F"/>
    <w:rsid w:val="00FB1214"/>
    <w:rsid w:val="00FF1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51DEEE1-FB3E-4D47-BA30-1EFC5E9B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BF624B"/>
    <w:pPr>
      <w:numPr>
        <w:numId w:val="3"/>
      </w:numPr>
      <w:tabs>
        <w:tab w:val="clear" w:pos="936"/>
        <w:tab w:val="num" w:pos="675"/>
        <w:tab w:val="left" w:pos="2592"/>
        <w:tab w:val="left" w:pos="3240"/>
      </w:tabs>
      <w:autoSpaceDE/>
      <w:autoSpaceDN/>
      <w:adjustRightInd/>
      <w:spacing w:after="120"/>
      <w:ind w:left="693" w:hanging="630"/>
      <w:contextualSpacing w:val="0"/>
    </w:pPr>
    <w:rPr>
      <w:rFonts w:ascii="Times New Roman" w:hAnsi="Times New Roman" w:cs="Times New Roman"/>
      <w:sz w:val="24"/>
      <w:szCs w:val="24"/>
    </w:rPr>
  </w:style>
  <w:style w:type="paragraph" w:styleId="List2">
    <w:name w:val="List 2"/>
    <w:basedOn w:val="Normal"/>
    <w:uiPriority w:val="99"/>
    <w:semiHidden/>
    <w:unhideWhenUsed/>
    <w:rsid w:val="00BF624B"/>
    <w:pPr>
      <w:ind w:left="720" w:hanging="360"/>
      <w:contextualSpacing/>
    </w:pPr>
  </w:style>
  <w:style w:type="character" w:styleId="Strong">
    <w:name w:val="Strong"/>
    <w:qFormat/>
    <w:rsid w:val="006B1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248423939">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10185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